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94" w:rsidRPr="00292694" w:rsidRDefault="00292694" w:rsidP="00292694">
      <w:pPr>
        <w:autoSpaceDE w:val="0"/>
        <w:autoSpaceDN w:val="0"/>
        <w:adjustRightInd w:val="0"/>
        <w:spacing w:line="360" w:lineRule="auto"/>
        <w:rPr>
          <w:rFonts w:ascii="Arial" w:eastAsiaTheme="minorHAnsi" w:hAnsi="Arial" w:cs="Arial"/>
          <w:b/>
          <w:color w:val="000000"/>
          <w:sz w:val="22"/>
          <w:szCs w:val="22"/>
          <w:lang w:eastAsia="en-US"/>
        </w:rPr>
      </w:pPr>
      <w:r w:rsidRPr="00292694">
        <w:rPr>
          <w:rFonts w:ascii="Arial" w:eastAsiaTheme="minorHAnsi" w:hAnsi="Arial" w:cs="Arial"/>
          <w:b/>
          <w:color w:val="000000"/>
          <w:sz w:val="22"/>
          <w:szCs w:val="22"/>
          <w:lang w:eastAsia="en-US"/>
        </w:rPr>
        <w:t xml:space="preserve">Drehgeber WDGI … der neue </w:t>
      </w:r>
      <w:proofErr w:type="spellStart"/>
      <w:r w:rsidRPr="00292694">
        <w:rPr>
          <w:rFonts w:ascii="Arial" w:eastAsiaTheme="minorHAnsi" w:hAnsi="Arial" w:cs="Arial"/>
          <w:b/>
          <w:color w:val="000000"/>
          <w:sz w:val="22"/>
          <w:szCs w:val="22"/>
          <w:lang w:eastAsia="en-US"/>
        </w:rPr>
        <w:t>inkrementale</w:t>
      </w:r>
      <w:proofErr w:type="spellEnd"/>
      <w:r w:rsidRPr="00292694">
        <w:rPr>
          <w:rFonts w:ascii="Arial" w:eastAsiaTheme="minorHAnsi" w:hAnsi="Arial" w:cs="Arial"/>
          <w:b/>
          <w:color w:val="000000"/>
          <w:sz w:val="22"/>
          <w:szCs w:val="22"/>
          <w:lang w:eastAsia="en-US"/>
        </w:rPr>
        <w:t xml:space="preserve"> Industriestandard</w:t>
      </w:r>
    </w:p>
    <w:p w:rsidR="00292694" w:rsidRPr="00292694" w:rsidRDefault="00292694" w:rsidP="00292694">
      <w:pPr>
        <w:autoSpaceDE w:val="0"/>
        <w:autoSpaceDN w:val="0"/>
        <w:adjustRightInd w:val="0"/>
        <w:spacing w:line="360" w:lineRule="auto"/>
        <w:rPr>
          <w:rFonts w:ascii="Arial" w:eastAsiaTheme="minorHAnsi" w:hAnsi="Arial" w:cs="Arial"/>
          <w:b/>
          <w:color w:val="000000"/>
          <w:sz w:val="22"/>
          <w:szCs w:val="22"/>
          <w:lang w:eastAsia="en-US"/>
        </w:rPr>
      </w:pPr>
      <w:r w:rsidRPr="00292694">
        <w:rPr>
          <w:rFonts w:ascii="Arial" w:eastAsiaTheme="minorHAnsi" w:hAnsi="Arial" w:cs="Arial"/>
          <w:b/>
          <w:color w:val="000000"/>
          <w:sz w:val="22"/>
          <w:szCs w:val="22"/>
          <w:lang w:eastAsia="en-US"/>
        </w:rPr>
        <w:t>Aus WDG wird WDGI</w:t>
      </w:r>
    </w:p>
    <w:p w:rsidR="00292694" w:rsidRDefault="00292694" w:rsidP="00292694">
      <w:pPr>
        <w:autoSpaceDE w:val="0"/>
        <w:autoSpaceDN w:val="0"/>
        <w:adjustRightInd w:val="0"/>
        <w:spacing w:line="360" w:lineRule="auto"/>
        <w:rPr>
          <w:rFonts w:ascii="Arial" w:eastAsiaTheme="minorHAnsi" w:hAnsi="Arial" w:cs="Arial"/>
          <w:b/>
          <w:color w:val="000000"/>
          <w:sz w:val="22"/>
          <w:szCs w:val="22"/>
          <w:lang w:eastAsia="en-US"/>
        </w:rPr>
      </w:pPr>
      <w:r w:rsidRPr="00292694">
        <w:rPr>
          <w:rFonts w:ascii="Arial" w:eastAsiaTheme="minorHAnsi" w:hAnsi="Arial" w:cs="Arial"/>
          <w:b/>
          <w:color w:val="000000"/>
          <w:sz w:val="22"/>
          <w:szCs w:val="22"/>
          <w:lang w:eastAsia="en-US"/>
        </w:rPr>
        <w:t>Robust, robuster, WDGI</w:t>
      </w:r>
      <w:r w:rsidRPr="00292694">
        <w:rPr>
          <w:rFonts w:ascii="Arial" w:eastAsiaTheme="minorHAnsi" w:hAnsi="Arial" w:cs="Arial"/>
          <w:b/>
          <w:color w:val="000000"/>
          <w:sz w:val="22"/>
          <w:szCs w:val="22"/>
          <w:lang w:eastAsia="en-US"/>
        </w:rPr>
        <w:br/>
        <w:t xml:space="preserve">Neue Serie </w:t>
      </w:r>
      <w:proofErr w:type="spellStart"/>
      <w:r w:rsidRPr="00292694">
        <w:rPr>
          <w:rFonts w:ascii="Arial" w:eastAsiaTheme="minorHAnsi" w:hAnsi="Arial" w:cs="Arial"/>
          <w:b/>
          <w:color w:val="000000"/>
          <w:sz w:val="22"/>
          <w:szCs w:val="22"/>
          <w:lang w:eastAsia="en-US"/>
        </w:rPr>
        <w:t>inkrementaler</w:t>
      </w:r>
      <w:proofErr w:type="spellEnd"/>
      <w:r w:rsidRPr="00292694">
        <w:rPr>
          <w:rFonts w:ascii="Arial" w:eastAsiaTheme="minorHAnsi" w:hAnsi="Arial" w:cs="Arial"/>
          <w:b/>
          <w:color w:val="000000"/>
          <w:sz w:val="22"/>
          <w:szCs w:val="22"/>
          <w:lang w:eastAsia="en-US"/>
        </w:rPr>
        <w:t xml:space="preserve"> Drehgeber</w:t>
      </w:r>
    </w:p>
    <w:p w:rsidR="00292694" w:rsidRPr="00292694" w:rsidRDefault="00292694" w:rsidP="00292694">
      <w:pPr>
        <w:autoSpaceDE w:val="0"/>
        <w:autoSpaceDN w:val="0"/>
        <w:adjustRightInd w:val="0"/>
        <w:rPr>
          <w:rFonts w:ascii="Arial" w:eastAsiaTheme="minorHAnsi" w:hAnsi="Arial" w:cs="Arial"/>
          <w:i/>
          <w:color w:val="000000"/>
          <w:sz w:val="22"/>
          <w:szCs w:val="22"/>
          <w:lang w:eastAsia="en-US"/>
        </w:rPr>
      </w:pPr>
      <w:r>
        <w:rPr>
          <w:rFonts w:ascii="Arial" w:eastAsiaTheme="minorHAnsi" w:hAnsi="Arial" w:cs="Arial"/>
          <w:b/>
          <w:color w:val="000000"/>
          <w:sz w:val="22"/>
          <w:szCs w:val="22"/>
          <w:lang w:eastAsia="en-US"/>
        </w:rPr>
        <w:br/>
      </w:r>
      <w:r w:rsidRPr="00292694">
        <w:rPr>
          <w:rFonts w:ascii="Arial" w:eastAsiaTheme="minorHAnsi" w:hAnsi="Arial" w:cs="Arial"/>
          <w:i/>
          <w:color w:val="000000"/>
          <w:sz w:val="22"/>
          <w:szCs w:val="22"/>
          <w:lang w:eastAsia="en-US"/>
        </w:rPr>
        <w:t>Wachendorff Automation entwickelt und fertigt seit mehr als 25 Jahren Systeme und Drehgeber für den weltweiten Einsatz in unter</w:t>
      </w:r>
      <w:r w:rsidRPr="00292694">
        <w:rPr>
          <w:rFonts w:ascii="Arial" w:eastAsiaTheme="minorHAnsi" w:hAnsi="Arial" w:cs="Arial"/>
          <w:i/>
          <w:color w:val="000000"/>
          <w:sz w:val="22"/>
          <w:szCs w:val="22"/>
          <w:lang w:eastAsia="en-US"/>
        </w:rPr>
        <w:softHyphen/>
        <w:t xml:space="preserve">schiedlichsten Anwendungen in den Bereichen Maschinen-/Anlagenbau, Aufzugsbau, Mobile Maschinen und Erneuerbare Energien. Mehr als 1.250 realisierte Kundenvarianten zeigen </w:t>
      </w:r>
      <w:r>
        <w:rPr>
          <w:rFonts w:ascii="Arial" w:eastAsiaTheme="minorHAnsi" w:hAnsi="Arial" w:cs="Arial"/>
          <w:i/>
          <w:color w:val="000000"/>
          <w:sz w:val="22"/>
          <w:szCs w:val="22"/>
          <w:lang w:eastAsia="en-US"/>
        </w:rPr>
        <w:t xml:space="preserve">dabei </w:t>
      </w:r>
      <w:r w:rsidRPr="00292694">
        <w:rPr>
          <w:rFonts w:ascii="Arial" w:eastAsiaTheme="minorHAnsi" w:hAnsi="Arial" w:cs="Arial"/>
          <w:i/>
          <w:color w:val="000000"/>
          <w:sz w:val="22"/>
          <w:szCs w:val="22"/>
          <w:lang w:eastAsia="en-US"/>
        </w:rPr>
        <w:t xml:space="preserve">die große Flexibilität und absolute Kundenorientierung. Wachendorff </w:t>
      </w:r>
      <w:r>
        <w:rPr>
          <w:rFonts w:ascii="Arial" w:eastAsiaTheme="minorHAnsi" w:hAnsi="Arial" w:cs="Arial"/>
          <w:i/>
          <w:color w:val="000000"/>
          <w:sz w:val="22"/>
          <w:szCs w:val="22"/>
          <w:lang w:eastAsia="en-US"/>
        </w:rPr>
        <w:t xml:space="preserve">Automation </w:t>
      </w:r>
      <w:r w:rsidRPr="00292694">
        <w:rPr>
          <w:rFonts w:ascii="Arial" w:eastAsiaTheme="minorHAnsi" w:hAnsi="Arial" w:cs="Arial"/>
          <w:i/>
          <w:color w:val="000000"/>
          <w:sz w:val="22"/>
          <w:szCs w:val="22"/>
          <w:lang w:eastAsia="en-US"/>
        </w:rPr>
        <w:t>legt höchsten Wert auf die mechanische und elektrische Standfestigkeit und gewährleistet eine Garantie von 5 Jahren.</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p>
    <w:p w:rsidR="00292694" w:rsidRPr="00292694" w:rsidRDefault="00292694" w:rsidP="00292694">
      <w:pPr>
        <w:autoSpaceDE w:val="0"/>
        <w:autoSpaceDN w:val="0"/>
        <w:adjustRightInd w:val="0"/>
        <w:spacing w:line="360" w:lineRule="auto"/>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xml:space="preserve">Wachendorff Automation hat die </w:t>
      </w:r>
      <w:proofErr w:type="spellStart"/>
      <w:r w:rsidRPr="00292694">
        <w:rPr>
          <w:rFonts w:ascii="Arial" w:eastAsiaTheme="minorHAnsi" w:hAnsi="Arial" w:cs="Arial"/>
          <w:color w:val="000000"/>
          <w:sz w:val="22"/>
          <w:szCs w:val="22"/>
          <w:lang w:eastAsia="en-US"/>
        </w:rPr>
        <w:t>inkrementalen</w:t>
      </w:r>
      <w:proofErr w:type="spellEnd"/>
      <w:r w:rsidRPr="00292694">
        <w:rPr>
          <w:rFonts w:ascii="Arial" w:eastAsiaTheme="minorHAnsi" w:hAnsi="Arial" w:cs="Arial"/>
          <w:color w:val="000000"/>
          <w:sz w:val="22"/>
          <w:szCs w:val="22"/>
          <w:lang w:eastAsia="en-US"/>
        </w:rPr>
        <w:t xml:space="preserve"> Drehgeber der Serie WDG, die auf dem Industriestandard 58 mm-Baugröße basieren, komplett überarbeitet. Eine Folge daraus: Aus WDG wird WDGI. Entscheidend sind jedoch die erweiterten Nutzen für den An</w:t>
      </w:r>
      <w:r w:rsidRPr="00292694">
        <w:rPr>
          <w:rFonts w:ascii="Arial" w:eastAsiaTheme="minorHAnsi" w:hAnsi="Arial" w:cs="Arial"/>
          <w:color w:val="000000"/>
          <w:sz w:val="22"/>
          <w:szCs w:val="22"/>
          <w:lang w:eastAsia="en-US"/>
        </w:rPr>
        <w:softHyphen/>
        <w:t xml:space="preserve">wender. Der Arbeitstemperaturbereich der Standard-Drehgeber WDGI mit </w:t>
      </w:r>
      <w:proofErr w:type="spellStart"/>
      <w:r w:rsidRPr="00292694">
        <w:rPr>
          <w:rFonts w:ascii="Arial" w:eastAsiaTheme="minorHAnsi" w:hAnsi="Arial" w:cs="Arial"/>
          <w:color w:val="000000"/>
          <w:sz w:val="22"/>
          <w:szCs w:val="22"/>
          <w:lang w:eastAsia="en-US"/>
        </w:rPr>
        <w:t>Steckerabgang</w:t>
      </w:r>
      <w:proofErr w:type="spellEnd"/>
      <w:r w:rsidRPr="00292694">
        <w:rPr>
          <w:rFonts w:ascii="Arial" w:eastAsiaTheme="minorHAnsi" w:hAnsi="Arial" w:cs="Arial"/>
          <w:color w:val="000000"/>
          <w:sz w:val="22"/>
          <w:szCs w:val="22"/>
          <w:lang w:eastAsia="en-US"/>
        </w:rPr>
        <w:t xml:space="preserve"> wurde auf -40 °C bis +85 °C erweitert. Bei Drehgebern mit Kabelabgang ist dieser erweiterte Tempe</w:t>
      </w:r>
      <w:r w:rsidRPr="00292694">
        <w:rPr>
          <w:rFonts w:ascii="Arial" w:eastAsiaTheme="minorHAnsi" w:hAnsi="Arial" w:cs="Arial"/>
          <w:color w:val="000000"/>
          <w:sz w:val="22"/>
          <w:szCs w:val="22"/>
          <w:lang w:eastAsia="en-US"/>
        </w:rPr>
        <w:softHyphen/>
        <w:t>raturbereich optional realisierbar. Das vergrößert den mögli</w:t>
      </w:r>
      <w:r w:rsidRPr="00292694">
        <w:rPr>
          <w:rFonts w:ascii="Arial" w:eastAsiaTheme="minorHAnsi" w:hAnsi="Arial" w:cs="Arial"/>
          <w:color w:val="000000"/>
          <w:sz w:val="22"/>
          <w:szCs w:val="22"/>
          <w:lang w:eastAsia="en-US"/>
        </w:rPr>
        <w:softHyphen/>
        <w:t>chen Einsatzbereich ohne die Lebensdauer der Drehgeber zu reduzieren. Die neue Serie bieten die Möglichkeit bei Impulszahlen ab 1.200 I/U mit Impulsfrequenzen bis zu 600 kHz (TTL) bzw. 2 MHz (HTL) zu arbeiten. Damit können auch hohe Impulszah</w:t>
      </w:r>
      <w:r w:rsidRPr="00292694">
        <w:rPr>
          <w:rFonts w:ascii="Arial" w:eastAsiaTheme="minorHAnsi" w:hAnsi="Arial" w:cs="Arial"/>
          <w:color w:val="000000"/>
          <w:sz w:val="22"/>
          <w:szCs w:val="22"/>
          <w:lang w:eastAsia="en-US"/>
        </w:rPr>
        <w:softHyphen/>
        <w:t xml:space="preserve">len bei hohen Drehzahlen zum Einsatz kommen, was z. B. die Messgenauigkeit bei großen Durchsatzzahlen der Maschine maßgeblich erhöht. Die Heavy </w:t>
      </w:r>
      <w:proofErr w:type="spellStart"/>
      <w:r w:rsidRPr="00292694">
        <w:rPr>
          <w:rFonts w:ascii="Arial" w:eastAsiaTheme="minorHAnsi" w:hAnsi="Arial" w:cs="Arial"/>
          <w:color w:val="000000"/>
          <w:sz w:val="22"/>
          <w:szCs w:val="22"/>
          <w:lang w:eastAsia="en-US"/>
        </w:rPr>
        <w:t>Duty</w:t>
      </w:r>
      <w:proofErr w:type="spellEnd"/>
      <w:r w:rsidRPr="00292694">
        <w:rPr>
          <w:rFonts w:ascii="Arial" w:eastAsiaTheme="minorHAnsi" w:hAnsi="Arial" w:cs="Arial"/>
          <w:color w:val="000000"/>
          <w:sz w:val="22"/>
          <w:szCs w:val="22"/>
          <w:lang w:eastAsia="en-US"/>
        </w:rPr>
        <w:t>-Variante WDGI58D bietet serienmäßig eine um 25% höhere mögliche Lagerlast als das Vorgängermodell. Das bedeutet jetzt jeweils 500 N in axialer und radialer Belastungs</w:t>
      </w:r>
      <w:r w:rsidRPr="00292694">
        <w:rPr>
          <w:rFonts w:ascii="Arial" w:eastAsiaTheme="minorHAnsi" w:hAnsi="Arial" w:cs="Arial"/>
          <w:color w:val="000000"/>
          <w:sz w:val="22"/>
          <w:szCs w:val="22"/>
          <w:lang w:eastAsia="en-US"/>
        </w:rPr>
        <w:softHyphen/>
        <w:t>richtung. Damit verfügt der Drehgeber auch bei extremen Wellenbelastungen über genug Reserven, was für eine lange Lebensdauer entscheidend ist. Hohe Standzeiten und geringe Wartungskosten sind garantiert.</w:t>
      </w:r>
    </w:p>
    <w:p w:rsidR="00292694" w:rsidRDefault="00292694" w:rsidP="00292694">
      <w:pPr>
        <w:autoSpaceDE w:val="0"/>
        <w:autoSpaceDN w:val="0"/>
        <w:adjustRightInd w:val="0"/>
        <w:spacing w:line="360" w:lineRule="auto"/>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xml:space="preserve">Als neue Option ist eine Druckausgleichsmembran verfügbar. Diese Membran sichert die hohe Zuverlässigkeit der Drehgeber auch bei schnellen Temperaturwechseln, zum Beispiel beim Einsatz in mobilen Arbeitsmaschinen oder generell bei hoher Luftfeuchte. </w:t>
      </w:r>
    </w:p>
    <w:p w:rsidR="00292694" w:rsidRDefault="00292694" w:rsidP="00292694">
      <w:pPr>
        <w:autoSpaceDE w:val="0"/>
        <w:autoSpaceDN w:val="0"/>
        <w:adjustRightInd w:val="0"/>
        <w:spacing w:line="360" w:lineRule="auto"/>
        <w:rPr>
          <w:rFonts w:ascii="Arial" w:eastAsiaTheme="minorHAnsi" w:hAnsi="Arial" w:cs="Arial"/>
          <w:color w:val="000000"/>
          <w:sz w:val="22"/>
          <w:szCs w:val="22"/>
          <w:lang w:eastAsia="en-US"/>
        </w:rPr>
      </w:pPr>
    </w:p>
    <w:p w:rsidR="00292694" w:rsidRPr="00292694" w:rsidRDefault="00292694" w:rsidP="00292694">
      <w:pPr>
        <w:autoSpaceDE w:val="0"/>
        <w:autoSpaceDN w:val="0"/>
        <w:adjustRightInd w:val="0"/>
        <w:spacing w:line="360" w:lineRule="auto"/>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Trotz Membran behalten die Drehgeber die hohe Schutzart von bis zu IP67 und sind weiterhin resistent gegen raue Umgebungsbedingungen.</w:t>
      </w:r>
    </w:p>
    <w:p w:rsidR="00292694" w:rsidRPr="00292694" w:rsidRDefault="00292694" w:rsidP="00292694">
      <w:pPr>
        <w:autoSpaceDE w:val="0"/>
        <w:autoSpaceDN w:val="0"/>
        <w:adjustRightInd w:val="0"/>
        <w:spacing w:line="360" w:lineRule="auto"/>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Der neu gestaltete Drehgeberdeckel wird im Aluminium-Druck</w:t>
      </w:r>
      <w:r w:rsidRPr="00292694">
        <w:rPr>
          <w:rFonts w:ascii="Arial" w:eastAsiaTheme="minorHAnsi" w:hAnsi="Arial" w:cs="Arial"/>
          <w:color w:val="000000"/>
          <w:sz w:val="22"/>
          <w:szCs w:val="22"/>
          <w:lang w:eastAsia="en-US"/>
        </w:rPr>
        <w:softHyphen/>
        <w:t>gussverfahren hergestellt. Im Gegensatz zum Zink-Druckguss</w:t>
      </w:r>
      <w:r w:rsidRPr="00292694">
        <w:rPr>
          <w:rFonts w:ascii="Arial" w:eastAsiaTheme="minorHAnsi" w:hAnsi="Arial" w:cs="Arial"/>
          <w:color w:val="000000"/>
          <w:sz w:val="22"/>
          <w:szCs w:val="22"/>
          <w:lang w:eastAsia="en-US"/>
        </w:rPr>
        <w:softHyphen/>
        <w:t>deckel, der häufig im Markt verwendet wird, kann damit die um</w:t>
      </w:r>
      <w:r w:rsidRPr="00292694">
        <w:rPr>
          <w:rFonts w:ascii="Arial" w:eastAsiaTheme="minorHAnsi" w:hAnsi="Arial" w:cs="Arial"/>
          <w:color w:val="000000"/>
          <w:sz w:val="22"/>
          <w:szCs w:val="22"/>
          <w:lang w:eastAsia="en-US"/>
        </w:rPr>
        <w:softHyphen/>
        <w:t>weltverträgliche Pulverbeschichtung der Gehäuse beibehalten werden. Kundenspezifische Wünsche hinsichtlich Farbgebung sind so mit gutem Gewissen möglich. Eine aus Kundenwünschen abgeleitete Besonderheit ist die in den Gehäusedeckel integrierte Öse, an der ein Beschriftungs</w:t>
      </w:r>
      <w:r w:rsidRPr="00292694">
        <w:rPr>
          <w:rFonts w:ascii="Arial" w:eastAsiaTheme="minorHAnsi" w:hAnsi="Arial" w:cs="Arial"/>
          <w:color w:val="000000"/>
          <w:sz w:val="22"/>
          <w:szCs w:val="22"/>
          <w:lang w:eastAsia="en-US"/>
        </w:rPr>
        <w:softHyphen/>
        <w:t>streifen (z. B. für Anlagen-/Ortskennzeichen) befestigt werden kann.</w:t>
      </w:r>
    </w:p>
    <w:p w:rsidR="00292694" w:rsidRPr="00292694" w:rsidRDefault="00292694" w:rsidP="00292694">
      <w:pPr>
        <w:autoSpaceDE w:val="0"/>
        <w:autoSpaceDN w:val="0"/>
        <w:adjustRightInd w:val="0"/>
        <w:spacing w:line="181" w:lineRule="atLeast"/>
        <w:rPr>
          <w:rFonts w:ascii="Arial" w:eastAsiaTheme="minorHAnsi" w:hAnsi="Arial" w:cs="Arial"/>
          <w:color w:val="000000"/>
          <w:sz w:val="22"/>
          <w:szCs w:val="22"/>
          <w:lang w:eastAsia="en-US"/>
        </w:rPr>
      </w:pPr>
    </w:p>
    <w:p w:rsidR="00292694" w:rsidRPr="00292694" w:rsidRDefault="00292694" w:rsidP="00902739">
      <w:pPr>
        <w:autoSpaceDE w:val="0"/>
        <w:autoSpaceDN w:val="0"/>
        <w:adjustRightInd w:val="0"/>
        <w:spacing w:line="18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Die wichtigsten Eigenschaften zusammengefasst:</w:t>
      </w:r>
      <w:r w:rsidRPr="00292694">
        <w:rPr>
          <w:rFonts w:ascii="Arial" w:eastAsiaTheme="minorHAnsi" w:hAnsi="Arial" w:cs="Arial"/>
          <w:color w:val="000000"/>
          <w:sz w:val="22"/>
          <w:szCs w:val="22"/>
          <w:lang w:eastAsia="en-US"/>
        </w:rPr>
        <w:br/>
        <w:t>• Robuster Standard-Industriegeber</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Aluminium-Druckgussgehäuse mit besonders umweltfreundlicher Pulverbeschichtung</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Durch hochwertige Elektronik bis 25.000 Impulse</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Schutzart IP67, am Welleneingang IP65</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Hohe Störungssicherheit</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Extrem hohe Lagerlast: bis 500 N axial/radial</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Höchste mechanische und elektrische Sicherheit</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Voller Anschlussschutz bei 10 VDC bis 30 VDC</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Hohe Ausgabefrequenz bis zu 600 kHz/2 MHz</w:t>
      </w:r>
    </w:p>
    <w:p w:rsidR="00292694" w:rsidRPr="00292694" w:rsidRDefault="00292694" w:rsidP="00292694">
      <w:pPr>
        <w:autoSpaceDE w:val="0"/>
        <w:autoSpaceDN w:val="0"/>
        <w:adjustRightInd w:val="0"/>
        <w:spacing w:line="201" w:lineRule="atLeast"/>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xml:space="preserve">• Arbeitstemperatur mit </w:t>
      </w:r>
      <w:proofErr w:type="spellStart"/>
      <w:r w:rsidRPr="00292694">
        <w:rPr>
          <w:rFonts w:ascii="Arial" w:eastAsiaTheme="minorHAnsi" w:hAnsi="Arial" w:cs="Arial"/>
          <w:color w:val="000000"/>
          <w:sz w:val="22"/>
          <w:szCs w:val="22"/>
          <w:lang w:eastAsia="en-US"/>
        </w:rPr>
        <w:t>Steckerabgang</w:t>
      </w:r>
      <w:proofErr w:type="spellEnd"/>
      <w:r w:rsidRPr="00292694">
        <w:rPr>
          <w:rFonts w:ascii="Arial" w:eastAsiaTheme="minorHAnsi" w:hAnsi="Arial" w:cs="Arial"/>
          <w:color w:val="000000"/>
          <w:sz w:val="22"/>
          <w:szCs w:val="22"/>
          <w:lang w:eastAsia="en-US"/>
        </w:rPr>
        <w:t xml:space="preserve"> -40 °C bis +85 °C</w:t>
      </w:r>
    </w:p>
    <w:p w:rsidR="003D6AD8" w:rsidRDefault="00292694" w:rsidP="00292694">
      <w:pPr>
        <w:spacing w:after="160" w:line="259" w:lineRule="auto"/>
        <w:rPr>
          <w:rFonts w:ascii="Arial" w:eastAsiaTheme="minorHAnsi" w:hAnsi="Arial" w:cs="Arial"/>
          <w:color w:val="000000"/>
          <w:sz w:val="22"/>
          <w:szCs w:val="22"/>
          <w:lang w:eastAsia="en-US"/>
        </w:rPr>
      </w:pPr>
      <w:r w:rsidRPr="00292694">
        <w:rPr>
          <w:rFonts w:ascii="Arial" w:eastAsiaTheme="minorHAnsi" w:hAnsi="Arial" w:cs="Arial"/>
          <w:color w:val="000000"/>
          <w:sz w:val="22"/>
          <w:szCs w:val="22"/>
          <w:lang w:eastAsia="en-US"/>
        </w:rPr>
        <w:t>• Optional: Druckausgleichsmembran</w:t>
      </w:r>
      <w:r w:rsidRPr="00292694">
        <w:rPr>
          <w:rFonts w:ascii="Arial" w:eastAsiaTheme="minorHAnsi" w:hAnsi="Arial" w:cs="Arial"/>
          <w:color w:val="000000"/>
          <w:sz w:val="22"/>
          <w:szCs w:val="22"/>
          <w:lang w:eastAsia="en-US"/>
        </w:rPr>
        <w:br/>
      </w:r>
    </w:p>
    <w:p w:rsidR="00292694" w:rsidRDefault="00292694" w:rsidP="00292694">
      <w:pPr>
        <w:spacing w:after="160" w:line="259" w:lineRule="auto"/>
        <w:rPr>
          <w:rFonts w:ascii="Arial" w:eastAsiaTheme="minorHAnsi" w:hAnsi="Arial" w:cs="Arial"/>
          <w:color w:val="0563C1" w:themeColor="hyperlink"/>
          <w:sz w:val="22"/>
          <w:szCs w:val="22"/>
          <w:u w:val="single"/>
          <w:lang w:eastAsia="en-US"/>
        </w:rPr>
      </w:pPr>
      <w:bookmarkStart w:id="0" w:name="_GoBack"/>
      <w:bookmarkEnd w:id="0"/>
      <w:r w:rsidRPr="00292694">
        <w:rPr>
          <w:rFonts w:ascii="Arial" w:eastAsiaTheme="minorHAnsi" w:hAnsi="Arial" w:cs="Arial"/>
          <w:color w:val="000000"/>
          <w:sz w:val="22"/>
          <w:szCs w:val="22"/>
          <w:lang w:eastAsia="en-US"/>
        </w:rPr>
        <w:t xml:space="preserve">Mehr Informationen: </w:t>
      </w:r>
      <w:hyperlink r:id="rId7" w:history="1">
        <w:r w:rsidRPr="00292694">
          <w:rPr>
            <w:rFonts w:ascii="Arial" w:eastAsiaTheme="minorHAnsi" w:hAnsi="Arial" w:cs="Arial"/>
            <w:color w:val="0563C1" w:themeColor="hyperlink"/>
            <w:sz w:val="22"/>
            <w:szCs w:val="22"/>
            <w:u w:val="single"/>
            <w:lang w:eastAsia="en-US"/>
          </w:rPr>
          <w:t>www.wachendorff-automation.de</w:t>
        </w:r>
      </w:hyperlink>
    </w:p>
    <w:p w:rsidR="00C26C8F" w:rsidRPr="00292694" w:rsidRDefault="00C26C8F" w:rsidP="00292694">
      <w:pPr>
        <w:spacing w:after="160" w:line="259" w:lineRule="auto"/>
        <w:rPr>
          <w:rFonts w:ascii="Arial" w:eastAsiaTheme="minorHAnsi" w:hAnsi="Arial" w:cs="Arial"/>
          <w:color w:val="000000"/>
          <w:sz w:val="22"/>
          <w:szCs w:val="22"/>
          <w:lang w:eastAsia="en-US"/>
        </w:rPr>
      </w:pPr>
      <w:r w:rsidRPr="00292694">
        <w:rPr>
          <w:rFonts w:ascii="Arial" w:eastAsiaTheme="minorHAnsi" w:hAnsi="Arial" w:cs="Arial"/>
          <w:sz w:val="22"/>
          <w:szCs w:val="22"/>
          <w:lang w:eastAsia="en-US"/>
        </w:rPr>
        <w:t>Bildmaterial (Wachendorff Automation):</w:t>
      </w:r>
      <w:r>
        <w:rPr>
          <w:rFonts w:ascii="Arial" w:eastAsiaTheme="minorHAnsi" w:hAnsi="Arial" w:cs="Arial"/>
          <w:sz w:val="22"/>
          <w:szCs w:val="22"/>
          <w:lang w:eastAsia="en-US"/>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7213"/>
      </w:tblGrid>
      <w:tr w:rsidR="00C26C8F" w:rsidTr="00C26C8F">
        <w:trPr>
          <w:trHeight w:val="4253"/>
        </w:trPr>
        <w:tc>
          <w:tcPr>
            <w:tcW w:w="2275" w:type="dxa"/>
          </w:tcPr>
          <w:p w:rsidR="00C26C8F" w:rsidRDefault="00C26C8F" w:rsidP="00292694">
            <w:pPr>
              <w:spacing w:after="160" w:line="259" w:lineRule="auto"/>
              <w:rPr>
                <w:rFonts w:ascii="Arial" w:eastAsiaTheme="minorHAnsi" w:hAnsi="Arial" w:cs="Arial"/>
                <w:sz w:val="22"/>
                <w:szCs w:val="22"/>
                <w:lang w:eastAsia="en-US"/>
              </w:rPr>
            </w:pPr>
            <w:r>
              <w:rPr>
                <w:noProof/>
              </w:rPr>
              <w:drawing>
                <wp:inline distT="0" distB="0" distL="0" distR="0" wp14:anchorId="3FB74037" wp14:editId="7427660E">
                  <wp:extent cx="1066667" cy="2752381"/>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667" cy="2752381"/>
                          </a:xfrm>
                          <a:prstGeom prst="rect">
                            <a:avLst/>
                          </a:prstGeom>
                        </pic:spPr>
                      </pic:pic>
                    </a:graphicData>
                  </a:graphic>
                </wp:inline>
              </w:drawing>
            </w:r>
          </w:p>
        </w:tc>
        <w:tc>
          <w:tcPr>
            <w:tcW w:w="7213" w:type="dxa"/>
          </w:tcPr>
          <w:p w:rsidR="00C26C8F" w:rsidRDefault="00C26C8F" w:rsidP="00C26C8F">
            <w:pPr>
              <w:spacing w:after="160" w:line="259" w:lineRule="auto"/>
              <w:rPr>
                <w:rFonts w:ascii="Arial" w:eastAsiaTheme="minorHAnsi" w:hAnsi="Arial" w:cs="Arial"/>
                <w:sz w:val="22"/>
                <w:szCs w:val="22"/>
                <w:lang w:eastAsia="en-US"/>
              </w:rPr>
            </w:pPr>
          </w:p>
          <w:p w:rsidR="00C26C8F" w:rsidRDefault="00C26C8F" w:rsidP="00C26C8F">
            <w:pPr>
              <w:spacing w:after="160" w:line="259" w:lineRule="auto"/>
              <w:rPr>
                <w:rFonts w:ascii="Arial" w:eastAsiaTheme="minorHAnsi" w:hAnsi="Arial" w:cs="Arial"/>
                <w:sz w:val="22"/>
                <w:szCs w:val="22"/>
                <w:lang w:eastAsia="en-US"/>
              </w:rPr>
            </w:pPr>
          </w:p>
          <w:p w:rsidR="00C26C8F" w:rsidRDefault="00C26C8F" w:rsidP="00C26C8F">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PI_</w:t>
            </w:r>
            <w:r>
              <w:rPr>
                <w:rFonts w:ascii="Arial" w:eastAsiaTheme="minorHAnsi" w:hAnsi="Arial" w:cs="Arial"/>
                <w:sz w:val="22"/>
                <w:szCs w:val="22"/>
                <w:lang w:eastAsia="en-US"/>
              </w:rPr>
              <w:t>WA1407_Wachendorff_WDGI_18112014_1.jpg</w:t>
            </w:r>
            <w:r w:rsidRPr="00902739">
              <w:rPr>
                <w:noProof/>
              </w:rPr>
              <w:t xml:space="preserve"> </w:t>
            </w:r>
            <w:r>
              <w:rPr>
                <w:rFonts w:ascii="Arial" w:eastAsiaTheme="minorHAnsi" w:hAnsi="Arial" w:cs="Arial"/>
                <w:sz w:val="22"/>
                <w:szCs w:val="22"/>
                <w:lang w:eastAsia="en-US"/>
              </w:rPr>
              <w:br/>
            </w:r>
            <w:r>
              <w:rPr>
                <w:rFonts w:ascii="Arial" w:eastAsiaTheme="minorHAnsi" w:hAnsi="Arial" w:cs="Arial"/>
                <w:sz w:val="22"/>
                <w:szCs w:val="22"/>
                <w:lang w:eastAsia="en-US"/>
              </w:rPr>
              <w:br/>
              <w:t xml:space="preserve">   </w:t>
            </w:r>
          </w:p>
          <w:p w:rsidR="00C26C8F" w:rsidRDefault="00C26C8F" w:rsidP="00C26C8F">
            <w:pPr>
              <w:spacing w:after="160" w:line="259" w:lineRule="auto"/>
              <w:rPr>
                <w:rFonts w:ascii="Arial" w:eastAsiaTheme="minorHAnsi" w:hAnsi="Arial" w:cs="Arial"/>
                <w:sz w:val="22"/>
                <w:szCs w:val="22"/>
                <w:lang w:eastAsia="en-US"/>
              </w:rPr>
            </w:pPr>
          </w:p>
          <w:p w:rsidR="00C26C8F" w:rsidRPr="00292694" w:rsidRDefault="00C26C8F" w:rsidP="00C26C8F">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PI_WA1407_Wachendorff_WDGI_18112014_2.jpg</w:t>
            </w:r>
          </w:p>
          <w:p w:rsidR="00C26C8F" w:rsidRDefault="00C26C8F" w:rsidP="00C26C8F">
            <w:pPr>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C26C8F" w:rsidRDefault="00C26C8F" w:rsidP="00C26C8F">
            <w:pPr>
              <w:rPr>
                <w:rFonts w:ascii="Arial" w:eastAsiaTheme="minorHAnsi" w:hAnsi="Arial" w:cs="Arial"/>
                <w:sz w:val="22"/>
                <w:szCs w:val="22"/>
                <w:lang w:eastAsia="en-US"/>
              </w:rPr>
            </w:pPr>
          </w:p>
          <w:p w:rsidR="00C26C8F" w:rsidRDefault="00C26C8F" w:rsidP="00C26C8F">
            <w:pPr>
              <w:rPr>
                <w:rFonts w:ascii="Arial" w:eastAsiaTheme="minorHAnsi" w:hAnsi="Arial" w:cs="Arial"/>
                <w:sz w:val="22"/>
                <w:szCs w:val="22"/>
                <w:lang w:eastAsia="en-US"/>
              </w:rPr>
            </w:pPr>
          </w:p>
          <w:p w:rsidR="00C26C8F" w:rsidRDefault="00C26C8F" w:rsidP="00C26C8F">
            <w:pPr>
              <w:rPr>
                <w:rFonts w:ascii="Arial" w:eastAsiaTheme="minorHAnsi" w:hAnsi="Arial" w:cs="Arial"/>
                <w:sz w:val="22"/>
                <w:szCs w:val="22"/>
                <w:lang w:eastAsia="en-US"/>
              </w:rPr>
            </w:pPr>
            <w:r>
              <w:rPr>
                <w:rFonts w:ascii="Arial" w:eastAsiaTheme="minorHAnsi" w:hAnsi="Arial" w:cs="Arial"/>
                <w:sz w:val="22"/>
                <w:szCs w:val="22"/>
                <w:lang w:eastAsia="en-US"/>
              </w:rPr>
              <w:t>PI_WA1407_Wachendorff_WDGI_18112014_3.jpg</w:t>
            </w:r>
          </w:p>
        </w:tc>
      </w:tr>
    </w:tbl>
    <w:p w:rsidR="002F5699" w:rsidRPr="00292694" w:rsidRDefault="002F5699" w:rsidP="00C26C8F">
      <w:pPr>
        <w:spacing w:after="160" w:line="259" w:lineRule="auto"/>
      </w:pPr>
    </w:p>
    <w:sectPr w:rsidR="002F5699" w:rsidRPr="00292694" w:rsidSect="00791AFE">
      <w:headerReference w:type="default" r:id="rId9"/>
      <w:footerReference w:type="default" r:id="rId10"/>
      <w:headerReference w:type="first" r:id="rId11"/>
      <w:footerReference w:type="first" r:id="rId12"/>
      <w:pgSz w:w="11906" w:h="16838" w:code="9"/>
      <w:pgMar w:top="405" w:right="849" w:bottom="568" w:left="1559" w:header="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11" w:rsidRDefault="00B72C11">
      <w:r>
        <w:separator/>
      </w:r>
    </w:p>
  </w:endnote>
  <w:endnote w:type="continuationSeparator" w:id="0">
    <w:p w:rsidR="00B72C11" w:rsidRDefault="00B7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24666"/>
      <w:docPartObj>
        <w:docPartGallery w:val="Page Numbers (Bottom of Page)"/>
        <w:docPartUnique/>
      </w:docPartObj>
    </w:sdtPr>
    <w:sdtEndPr>
      <w:rPr>
        <w:rFonts w:ascii="Arial" w:hAnsi="Arial" w:cs="Arial"/>
        <w:sz w:val="22"/>
        <w:szCs w:val="22"/>
      </w:rPr>
    </w:sdtEndPr>
    <w:sdtContent>
      <w:p w:rsidR="00501A9A" w:rsidRPr="00501A9A" w:rsidRDefault="00501A9A" w:rsidP="00501A9A">
        <w:pPr>
          <w:pStyle w:val="Fuzeile"/>
          <w:jc w:val="right"/>
          <w:rPr>
            <w:rFonts w:ascii="Arial" w:hAnsi="Arial" w:cs="Arial"/>
            <w:sz w:val="22"/>
            <w:szCs w:val="22"/>
          </w:rPr>
        </w:pPr>
        <w:r w:rsidRPr="00501A9A">
          <w:rPr>
            <w:rFonts w:ascii="Arial" w:hAnsi="Arial" w:cs="Arial"/>
            <w:sz w:val="22"/>
            <w:szCs w:val="22"/>
          </w:rPr>
          <w:t xml:space="preserve">Seite </w:t>
        </w:r>
        <w:r>
          <w:rPr>
            <w:rFonts w:ascii="Arial" w:hAnsi="Arial" w:cs="Arial"/>
            <w:sz w:val="22"/>
            <w:szCs w:val="22"/>
          </w:rPr>
          <w:t>2</w:t>
        </w:r>
        <w:r w:rsidRPr="00501A9A">
          <w:rPr>
            <w:rFonts w:ascii="Arial" w:hAnsi="Arial" w:cs="Arial"/>
            <w:sz w:val="22"/>
            <w:szCs w:val="22"/>
          </w:rPr>
          <w:t xml:space="preserve"> von 2</w:t>
        </w:r>
      </w:p>
    </w:sdtContent>
  </w:sdt>
  <w:p w:rsidR="006B7414" w:rsidRDefault="006B7414">
    <w:pPr>
      <w:pStyle w:val="Fuzeile"/>
      <w:jc w:val="cen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31839"/>
      <w:docPartObj>
        <w:docPartGallery w:val="Page Numbers (Bottom of Page)"/>
        <w:docPartUnique/>
      </w:docPartObj>
    </w:sdtPr>
    <w:sdtEndPr>
      <w:rPr>
        <w:rFonts w:ascii="Arial" w:hAnsi="Arial" w:cs="Arial"/>
        <w:sz w:val="22"/>
        <w:szCs w:val="22"/>
      </w:rPr>
    </w:sdtEndPr>
    <w:sdtContent>
      <w:p w:rsidR="00501A9A" w:rsidRPr="00501A9A" w:rsidRDefault="00501A9A">
        <w:pPr>
          <w:pStyle w:val="Fuzeile"/>
          <w:jc w:val="right"/>
          <w:rPr>
            <w:rFonts w:ascii="Arial" w:hAnsi="Arial" w:cs="Arial"/>
            <w:sz w:val="22"/>
            <w:szCs w:val="22"/>
          </w:rPr>
        </w:pPr>
        <w:r w:rsidRPr="00501A9A">
          <w:rPr>
            <w:rFonts w:ascii="Arial" w:hAnsi="Arial" w:cs="Arial"/>
            <w:sz w:val="22"/>
            <w:szCs w:val="22"/>
          </w:rPr>
          <w:t>Seite 1 von 2</w:t>
        </w:r>
      </w:p>
    </w:sdtContent>
  </w:sdt>
  <w:p w:rsidR="00501A9A" w:rsidRDefault="00501A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11" w:rsidRDefault="00B72C11">
      <w:r>
        <w:separator/>
      </w:r>
    </w:p>
  </w:footnote>
  <w:footnote w:type="continuationSeparator" w:id="0">
    <w:p w:rsidR="00B72C11" w:rsidRDefault="00B7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14" w:rsidRDefault="006B7414">
    <w:pPr>
      <w:pStyle w:val="Kopfzeile"/>
      <w:ind w:left="5812"/>
      <w:rPr>
        <w:rFonts w:ascii="Arial" w:hAnsi="Arial" w:cs="Arial"/>
        <w:b/>
        <w:bCs/>
      </w:rPr>
    </w:pPr>
  </w:p>
  <w:p w:rsidR="006B7414" w:rsidRDefault="006B7414">
    <w:pPr>
      <w:pStyle w:val="Kopfzeile"/>
      <w:rPr>
        <w:rFonts w:ascii="Arial" w:hAnsi="Arial" w:cs="Arial"/>
        <w:b/>
        <w:bCs/>
      </w:rPr>
    </w:pPr>
  </w:p>
  <w:p w:rsidR="006B7414" w:rsidRDefault="006B7414">
    <w:pPr>
      <w:pStyle w:val="Kopfzeile"/>
      <w:ind w:left="6521"/>
      <w:rPr>
        <w:rFonts w:ascii="Arial" w:hAnsi="Arial" w:cs="Arial"/>
        <w:b/>
        <w:bCs/>
      </w:rPr>
    </w:pPr>
  </w:p>
  <w:p w:rsidR="006B7414" w:rsidRDefault="00380F94">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3"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14" w:rsidRDefault="006B7414">
    <w:pPr>
      <w:pStyle w:val="Kopfzeile"/>
      <w:ind w:left="6237"/>
      <w:rPr>
        <w:rFonts w:ascii="Arial" w:hAnsi="Arial" w:cs="Arial"/>
        <w:b/>
        <w:bCs/>
      </w:rPr>
    </w:pPr>
    <w:r>
      <w:rPr>
        <w:rFonts w:ascii="Arial" w:hAnsi="Arial" w:cs="Arial"/>
        <w:b/>
        <w:bCs/>
      </w:rPr>
      <w:t xml:space="preserve">Wachendorff Automation </w:t>
    </w:r>
  </w:p>
  <w:p w:rsidR="006B7414" w:rsidRDefault="006B7414">
    <w:pPr>
      <w:pStyle w:val="Kopfzeile"/>
      <w:ind w:left="6237"/>
      <w:rPr>
        <w:rFonts w:ascii="Arial" w:hAnsi="Arial" w:cs="Arial"/>
      </w:rPr>
    </w:pPr>
    <w:r>
      <w:rPr>
        <w:rFonts w:ascii="Arial" w:hAnsi="Arial" w:cs="Arial"/>
      </w:rPr>
      <w:t>GmbH &amp; Co. KG</w:t>
    </w:r>
  </w:p>
  <w:p w:rsidR="006B7414" w:rsidRDefault="006B7414">
    <w:pPr>
      <w:pStyle w:val="Kopfzeile"/>
      <w:ind w:left="6237"/>
      <w:rPr>
        <w:rFonts w:ascii="Arial" w:hAnsi="Arial" w:cs="Arial"/>
      </w:rPr>
    </w:pPr>
    <w:r>
      <w:rPr>
        <w:rFonts w:ascii="Arial" w:hAnsi="Arial" w:cs="Arial"/>
      </w:rPr>
      <w:t>Industriestraße 7</w:t>
    </w:r>
  </w:p>
  <w:p w:rsidR="006B7414" w:rsidRDefault="006B7414">
    <w:pPr>
      <w:pStyle w:val="Kopfzeile"/>
      <w:tabs>
        <w:tab w:val="left" w:pos="5812"/>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6B7414" w:rsidRDefault="006B7414">
    <w:pPr>
      <w:pStyle w:val="Kopfzeile"/>
      <w:tabs>
        <w:tab w:val="left" w:pos="5812"/>
      </w:tabs>
      <w:ind w:left="6237"/>
      <w:rPr>
        <w:rFonts w:ascii="Arial" w:hAnsi="Arial" w:cs="Arial"/>
      </w:rPr>
    </w:pPr>
  </w:p>
  <w:p w:rsidR="006B7414" w:rsidRDefault="006B7414">
    <w:pPr>
      <w:pStyle w:val="Kopfzeile"/>
      <w:tabs>
        <w:tab w:val="left" w:pos="5812"/>
      </w:tabs>
      <w:ind w:left="6237"/>
      <w:rPr>
        <w:rFonts w:ascii="Arial" w:hAnsi="Arial" w:cs="Arial"/>
      </w:rPr>
    </w:pPr>
    <w:r>
      <w:rPr>
        <w:rFonts w:ascii="Arial" w:hAnsi="Arial" w:cs="Arial"/>
      </w:rPr>
      <w:t>Tel.: +49 (0) 67 22 / 99 65 - 25</w:t>
    </w:r>
  </w:p>
  <w:p w:rsidR="006B7414" w:rsidRDefault="006B7414">
    <w:pPr>
      <w:pStyle w:val="Kopfzeile"/>
      <w:tabs>
        <w:tab w:val="clear" w:pos="9072"/>
        <w:tab w:val="left" w:pos="5812"/>
        <w:tab w:val="right" w:pos="9214"/>
      </w:tabs>
      <w:ind w:left="6237" w:right="-286"/>
      <w:rPr>
        <w:rFonts w:ascii="Arial" w:hAnsi="Arial" w:cs="Arial"/>
        <w:lang w:val="fr-FR"/>
      </w:rPr>
    </w:pPr>
    <w:r>
      <w:rPr>
        <w:rFonts w:ascii="Arial" w:hAnsi="Arial" w:cs="Arial"/>
        <w:lang w:val="fr-FR"/>
      </w:rPr>
      <w:t>Fax: +49 (0) 67 22 / 99 65 - 70</w:t>
    </w:r>
  </w:p>
  <w:p w:rsidR="006B7414" w:rsidRDefault="006B7414">
    <w:pPr>
      <w:pStyle w:val="Kopfzeile"/>
      <w:tabs>
        <w:tab w:val="left" w:pos="5812"/>
      </w:tabs>
      <w:ind w:left="6237"/>
      <w:rPr>
        <w:rFonts w:ascii="Arial" w:hAnsi="Arial" w:cs="Arial"/>
        <w:lang w:val="fr-FR"/>
      </w:rPr>
    </w:pPr>
  </w:p>
  <w:p w:rsidR="006B7414" w:rsidRDefault="006B741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w:t>
    </w:r>
    <w:r w:rsidR="00292694">
      <w:rPr>
        <w:rFonts w:ascii="Arial" w:hAnsi="Arial" w:cs="Arial"/>
        <w:lang w:val="fr-FR"/>
      </w:rPr>
      <w:t>-automation</w:t>
    </w:r>
    <w:r>
      <w:rPr>
        <w:rFonts w:ascii="Arial" w:hAnsi="Arial" w:cs="Arial"/>
        <w:lang w:val="fr-FR"/>
      </w:rPr>
      <w:t>.de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11" w:rsidRDefault="00B72C11">
    <w:pPr>
      <w:pStyle w:val="Kopfzeile"/>
      <w:ind w:left="6521"/>
      <w:rPr>
        <w:rFonts w:ascii="Arial" w:hAnsi="Arial" w:cs="Arial"/>
        <w:b/>
        <w:bCs/>
      </w:rPr>
    </w:pPr>
  </w:p>
  <w:p w:rsidR="006B7414" w:rsidRDefault="00380F94">
    <w:pPr>
      <w:pStyle w:val="Kopfzeile"/>
      <w:ind w:left="6521"/>
      <w:rPr>
        <w:rFonts w:ascii="Arial" w:hAnsi="Arial" w:cs="Arial"/>
        <w:b/>
        <w:bCs/>
      </w:rPr>
    </w:pPr>
    <w:r>
      <w:rPr>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165100</wp:posOffset>
          </wp:positionV>
          <wp:extent cx="2743200" cy="504825"/>
          <wp:effectExtent l="0" t="0" r="0" b="9525"/>
          <wp:wrapNone/>
          <wp:docPr id="6" name="Bild 6" descr="V:\Wachendorff Prozesstechnik\Marketing\_Grafik_Design\Logos\Nur_RW-Wachendorff\Logo_Wachendo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achendorff Prozesstechnik\Marketing\_Grafik_Design\Logos\Nur_RW-Wachendorff\Logo_Wachendor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14" w:rsidRDefault="006B7414">
    <w:pPr>
      <w:pStyle w:val="Kopfzeile"/>
      <w:rPr>
        <w:rFonts w:ascii="Arial" w:hAnsi="Arial" w:cs="Arial"/>
        <w:b/>
        <w:bCs/>
      </w:rPr>
    </w:pPr>
  </w:p>
  <w:p w:rsidR="006B7414" w:rsidRDefault="006B7414">
    <w:pPr>
      <w:pStyle w:val="Kopfzeile"/>
      <w:ind w:left="6237"/>
      <w:rPr>
        <w:rFonts w:ascii="Arial" w:hAnsi="Arial" w:cs="Arial"/>
        <w:b/>
        <w:bCs/>
      </w:rPr>
    </w:pPr>
    <w:r>
      <w:rPr>
        <w:rFonts w:ascii="Arial" w:hAnsi="Arial" w:cs="Arial"/>
        <w:b/>
        <w:bCs/>
      </w:rPr>
      <w:t xml:space="preserve">Wachendorff Automation </w:t>
    </w:r>
  </w:p>
  <w:p w:rsidR="006B7414" w:rsidRDefault="006B7414">
    <w:pPr>
      <w:pStyle w:val="Kopfzeile"/>
      <w:ind w:left="6237"/>
      <w:rPr>
        <w:rFonts w:ascii="Arial" w:hAnsi="Arial" w:cs="Arial"/>
      </w:rPr>
    </w:pPr>
    <w:r>
      <w:rPr>
        <w:rFonts w:ascii="Arial" w:hAnsi="Arial" w:cs="Arial"/>
      </w:rPr>
      <w:t>GmbH &amp; Co. KG</w:t>
    </w:r>
  </w:p>
  <w:p w:rsidR="006B7414" w:rsidRDefault="006B7414">
    <w:pPr>
      <w:pStyle w:val="Kopfzeile"/>
      <w:ind w:left="6237"/>
      <w:rPr>
        <w:rFonts w:ascii="Arial" w:hAnsi="Arial" w:cs="Arial"/>
      </w:rPr>
    </w:pPr>
    <w:r>
      <w:rPr>
        <w:rFonts w:ascii="Arial" w:hAnsi="Arial" w:cs="Arial"/>
      </w:rPr>
      <w:t>Industriestraße 7</w:t>
    </w:r>
  </w:p>
  <w:p w:rsidR="006B7414" w:rsidRPr="00292694" w:rsidRDefault="006B7414">
    <w:pPr>
      <w:pStyle w:val="Kopfzeile"/>
      <w:tabs>
        <w:tab w:val="left" w:pos="5812"/>
      </w:tabs>
      <w:ind w:left="6237"/>
      <w:rPr>
        <w:rFonts w:ascii="Arial" w:hAnsi="Arial" w:cs="Arial"/>
      </w:rPr>
    </w:pPr>
    <w:r w:rsidRPr="00292694">
      <w:rPr>
        <w:rFonts w:ascii="Arial" w:hAnsi="Arial" w:cs="Arial"/>
      </w:rPr>
      <w:t xml:space="preserve">D-65366 </w:t>
    </w:r>
    <w:proofErr w:type="spellStart"/>
    <w:r w:rsidRPr="00292694">
      <w:rPr>
        <w:rFonts w:ascii="Arial" w:hAnsi="Arial" w:cs="Arial"/>
      </w:rPr>
      <w:t>Geisenheim</w:t>
    </w:r>
    <w:proofErr w:type="spellEnd"/>
    <w:r w:rsidR="00B72C11" w:rsidRPr="00292694">
      <w:rPr>
        <w:rFonts w:ascii="Arial" w:hAnsi="Arial" w:cs="Arial"/>
      </w:rPr>
      <w:t xml:space="preserve"> / Germany</w:t>
    </w:r>
  </w:p>
  <w:p w:rsidR="006B7414" w:rsidRPr="00292694" w:rsidRDefault="00B72C11">
    <w:pPr>
      <w:pStyle w:val="Kopfzeile"/>
      <w:tabs>
        <w:tab w:val="left" w:pos="5812"/>
      </w:tabs>
      <w:ind w:left="6237"/>
      <w:rPr>
        <w:rFonts w:ascii="Arial" w:hAnsi="Arial" w:cs="Arial"/>
      </w:rPr>
    </w:pPr>
    <w:r w:rsidRPr="00292694">
      <w:rPr>
        <w:rFonts w:ascii="Arial" w:hAnsi="Arial" w:cs="Arial"/>
      </w:rPr>
      <w:t>Fon</w:t>
    </w:r>
    <w:r w:rsidR="006B7414" w:rsidRPr="00292694">
      <w:rPr>
        <w:rFonts w:ascii="Arial" w:hAnsi="Arial" w:cs="Arial"/>
      </w:rPr>
      <w:t>: +49 (0) 67 22 / 99 65 - 25</w:t>
    </w:r>
  </w:p>
  <w:p w:rsidR="00791AFE" w:rsidRDefault="00501A9A" w:rsidP="00791AFE">
    <w:pPr>
      <w:ind w:left="6237"/>
      <w:rPr>
        <w:rStyle w:val="Hyperlink"/>
        <w:rFonts w:ascii="Arial" w:hAnsi="Arial" w:cs="Arial"/>
        <w:lang w:val="fr-FR"/>
      </w:rPr>
    </w:pPr>
    <w:r w:rsidRPr="00253E89">
      <w:rPr>
        <w:rFonts w:ascii="Arial" w:hAnsi="Arial"/>
        <w:noProof/>
      </w:rPr>
      <mc:AlternateContent>
        <mc:Choice Requires="wps">
          <w:drawing>
            <wp:anchor distT="45720" distB="45720" distL="114300" distR="114300" simplePos="0" relativeHeight="251661312" behindDoc="0" locked="0" layoutInCell="1" allowOverlap="1" wp14:anchorId="01A3FEFF" wp14:editId="0B7A2A6C">
              <wp:simplePos x="0" y="0"/>
              <wp:positionH relativeFrom="margin">
                <wp:align>left</wp:align>
              </wp:positionH>
              <wp:positionV relativeFrom="paragraph">
                <wp:posOffset>334010</wp:posOffset>
              </wp:positionV>
              <wp:extent cx="2360930" cy="971550"/>
              <wp:effectExtent l="0" t="0" r="698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9525">
                        <a:noFill/>
                        <a:miter lim="800000"/>
                        <a:headEnd/>
                        <a:tailEnd/>
                      </a:ln>
                    </wps:spPr>
                    <wps:txbx>
                      <w:txbxContent>
                        <w:p w:rsidR="00501A9A" w:rsidRDefault="00501A9A" w:rsidP="00501A9A">
                          <w:r w:rsidRPr="00253E89">
                            <w:rPr>
                              <w:noProof/>
                            </w:rPr>
                            <w:drawing>
                              <wp:inline distT="0" distB="0" distL="0" distR="0" wp14:anchorId="60456A20" wp14:editId="62053FAA">
                                <wp:extent cx="1476375" cy="581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01A9A" w:rsidRDefault="00501A9A" w:rsidP="00501A9A"/>
                        <w:p w:rsidR="00501A9A" w:rsidRDefault="00501A9A" w:rsidP="00501A9A">
                          <w:r w:rsidRPr="002531BC">
                            <w:rPr>
                              <w:rFonts w:ascii="Arial" w:hAnsi="Arial"/>
                              <w:b/>
                              <w:color w:val="0070C0"/>
                              <w:lang w:val="it-IT"/>
                            </w:rPr>
                            <w:t>Wachendorff</w:t>
                          </w:r>
                          <w:r>
                            <w:rPr>
                              <w:rFonts w:ascii="Arial" w:hAnsi="Arial"/>
                              <w:b/>
                              <w:color w:val="0070C0"/>
                              <w:lang w:val="it-IT"/>
                            </w:rPr>
                            <w:t>:</w:t>
                          </w:r>
                          <w:r w:rsidRPr="002531BC">
                            <w:rPr>
                              <w:rFonts w:ascii="Arial" w:hAnsi="Arial"/>
                              <w:color w:val="0070C0"/>
                              <w:lang w:val="it-IT"/>
                            </w:rPr>
                            <w:t xml:space="preserve"> </w:t>
                          </w:r>
                          <w:r w:rsidRPr="002531BC">
                            <w:rPr>
                              <w:rFonts w:ascii="Arial" w:hAnsi="Arial"/>
                              <w:b/>
                              <w:color w:val="0070C0"/>
                              <w:lang w:val="it-IT"/>
                            </w:rPr>
                            <w:t>Halle 7, Stand 7-151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A3FEFF" id="_x0000_t202" coordsize="21600,21600" o:spt="202" path="m,l,21600r21600,l21600,xe">
              <v:stroke joinstyle="miter"/>
              <v:path gradientshapeok="t" o:connecttype="rect"/>
            </v:shapetype>
            <v:shape id="Textfeld 2" o:spid="_x0000_s1026" type="#_x0000_t202" style="position:absolute;left:0;text-align:left;margin-left:0;margin-top:26.3pt;width:185.9pt;height:76.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ewIAIAABs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" stroked="f">
              <v:textbox>
                <w:txbxContent>
                  <w:p w:rsidR="00501A9A" w:rsidRDefault="00501A9A" w:rsidP="00501A9A">
                    <w:r w:rsidRPr="00253E89">
                      <w:rPr>
                        <w:noProof/>
                      </w:rPr>
                      <w:drawing>
                        <wp:inline distT="0" distB="0" distL="0" distR="0" wp14:anchorId="60456A20" wp14:editId="62053FAA">
                          <wp:extent cx="1476375" cy="581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01A9A" w:rsidRDefault="00501A9A" w:rsidP="00501A9A"/>
                  <w:p w:rsidR="00501A9A" w:rsidRDefault="00501A9A" w:rsidP="00501A9A">
                    <w:r w:rsidRPr="002531BC">
                      <w:rPr>
                        <w:rFonts w:ascii="Arial" w:hAnsi="Arial"/>
                        <w:b/>
                        <w:color w:val="0070C0"/>
                        <w:lang w:val="it-IT"/>
                      </w:rPr>
                      <w:t>Wachendorff</w:t>
                    </w:r>
                    <w:r>
                      <w:rPr>
                        <w:rFonts w:ascii="Arial" w:hAnsi="Arial"/>
                        <w:b/>
                        <w:color w:val="0070C0"/>
                        <w:lang w:val="it-IT"/>
                      </w:rPr>
                      <w:t>:</w:t>
                    </w:r>
                    <w:r w:rsidRPr="002531BC">
                      <w:rPr>
                        <w:rFonts w:ascii="Arial" w:hAnsi="Arial"/>
                        <w:color w:val="0070C0"/>
                        <w:lang w:val="it-IT"/>
                      </w:rPr>
                      <w:t xml:space="preserve"> </w:t>
                    </w:r>
                    <w:r w:rsidRPr="002531BC">
                      <w:rPr>
                        <w:rFonts w:ascii="Arial" w:hAnsi="Arial"/>
                        <w:b/>
                        <w:color w:val="0070C0"/>
                        <w:lang w:val="it-IT"/>
                      </w:rPr>
                      <w:t>Halle 7, Stand 7-151</w:t>
                    </w:r>
                  </w:p>
                </w:txbxContent>
              </v:textbox>
              <w10:wrap type="square" anchorx="margin"/>
            </v:shape>
          </w:pict>
        </mc:Fallback>
      </mc:AlternateContent>
    </w:r>
    <w:r w:rsidR="00B72C11">
      <w:rPr>
        <w:rFonts w:ascii="Arial" w:hAnsi="Arial" w:cs="Arial"/>
        <w:lang w:val="fr-FR"/>
      </w:rPr>
      <w:t>Fax: +49 (0) 67 22 / 99 65 - 20</w:t>
    </w:r>
    <w:r w:rsidR="00B72C11">
      <w:rPr>
        <w:rFonts w:ascii="Arial" w:hAnsi="Arial" w:cs="Arial"/>
        <w:lang w:val="fr-FR"/>
      </w:rPr>
      <w:br/>
    </w:r>
    <w:r w:rsidR="00B72C11" w:rsidRPr="00B72C11">
      <w:rPr>
        <w:rFonts w:ascii="Arial" w:hAnsi="Arial" w:cs="Arial"/>
        <w:lang w:val="fr-FR"/>
      </w:rPr>
      <w:t>www.wachendorff-automation.de</w:t>
    </w:r>
    <w:r w:rsidR="00B72C11">
      <w:rPr>
        <w:rFonts w:ascii="Arial" w:hAnsi="Arial" w:cs="Arial"/>
        <w:lang w:val="fr-FR"/>
      </w:rPr>
      <w:br/>
    </w:r>
    <w:r w:rsidR="00B72C11">
      <w:rPr>
        <w:rFonts w:ascii="Arial" w:hAnsi="Arial" w:cs="Arial"/>
        <w:lang w:val="fr-FR"/>
      </w:rPr>
      <w:br/>
    </w:r>
    <w:proofErr w:type="spellStart"/>
    <w:r w:rsidR="00040AED">
      <w:rPr>
        <w:rFonts w:ascii="Arial" w:hAnsi="Arial" w:cs="Arial"/>
        <w:lang w:val="fr-FR"/>
      </w:rPr>
      <w:t>Ansprechpartner</w:t>
    </w:r>
    <w:proofErr w:type="spellEnd"/>
    <w:r w:rsidR="00040AED">
      <w:rPr>
        <w:rFonts w:ascii="Arial" w:hAnsi="Arial" w:cs="Arial"/>
        <w:lang w:val="fr-FR"/>
      </w:rPr>
      <w:t xml:space="preserve"> </w:t>
    </w:r>
    <w:proofErr w:type="spellStart"/>
    <w:r w:rsidR="00040AED">
      <w:rPr>
        <w:rFonts w:ascii="Arial" w:hAnsi="Arial" w:cs="Arial"/>
        <w:lang w:val="fr-FR"/>
      </w:rPr>
      <w:t>für</w:t>
    </w:r>
    <w:proofErr w:type="spellEnd"/>
    <w:r w:rsidR="00040AED">
      <w:rPr>
        <w:rFonts w:ascii="Arial" w:hAnsi="Arial" w:cs="Arial"/>
        <w:lang w:val="fr-FR"/>
      </w:rPr>
      <w:t xml:space="preserve"> </w:t>
    </w:r>
    <w:proofErr w:type="spellStart"/>
    <w:r w:rsidR="00040AED">
      <w:rPr>
        <w:rFonts w:ascii="Arial" w:hAnsi="Arial" w:cs="Arial"/>
        <w:lang w:val="fr-FR"/>
      </w:rPr>
      <w:t>Redakt</w:t>
    </w:r>
    <w:r w:rsidR="00292694">
      <w:rPr>
        <w:rFonts w:ascii="Arial" w:hAnsi="Arial" w:cs="Arial"/>
        <w:lang w:val="fr-FR"/>
      </w:rPr>
      <w:t>ionen</w:t>
    </w:r>
    <w:proofErr w:type="spellEnd"/>
    <w:r w:rsidR="00040AED">
      <w:rPr>
        <w:rFonts w:ascii="Arial" w:hAnsi="Arial" w:cs="Arial"/>
        <w:lang w:val="fr-FR"/>
      </w:rPr>
      <w:t>:</w:t>
    </w:r>
    <w:r w:rsidR="00B72C11">
      <w:rPr>
        <w:rFonts w:ascii="Arial" w:hAnsi="Arial" w:cs="Arial"/>
        <w:lang w:val="fr-FR"/>
      </w:rPr>
      <w:br/>
    </w:r>
    <w:r w:rsidR="00B72C11" w:rsidRPr="00B72C11">
      <w:rPr>
        <w:rFonts w:ascii="Arial" w:hAnsi="Arial" w:cs="Arial"/>
        <w:sz w:val="8"/>
        <w:lang w:val="fr-FR"/>
      </w:rPr>
      <w:br/>
    </w:r>
    <w:r w:rsidR="00B72C11">
      <w:rPr>
        <w:rFonts w:ascii="Arial" w:hAnsi="Arial" w:cs="Arial"/>
        <w:lang w:val="fr-FR"/>
      </w:rPr>
      <w:t xml:space="preserve">Dirk Rott, </w:t>
    </w:r>
    <w:proofErr w:type="spellStart"/>
    <w:r w:rsidR="00040AED">
      <w:rPr>
        <w:rFonts w:ascii="Arial" w:hAnsi="Arial" w:cs="Arial"/>
        <w:lang w:val="fr-FR"/>
      </w:rPr>
      <w:t>Leiter</w:t>
    </w:r>
    <w:proofErr w:type="spellEnd"/>
    <w:r w:rsidR="00040AED">
      <w:rPr>
        <w:rFonts w:ascii="Arial" w:hAnsi="Arial" w:cs="Arial"/>
        <w:lang w:val="fr-FR"/>
      </w:rPr>
      <w:t xml:space="preserve"> Marketing</w:t>
    </w:r>
    <w:r w:rsidR="00B72C11">
      <w:rPr>
        <w:rFonts w:ascii="Arial" w:hAnsi="Arial" w:cs="Arial"/>
        <w:lang w:val="fr-FR"/>
      </w:rPr>
      <w:br/>
    </w:r>
    <w:hyperlink r:id="rId4" w:history="1">
      <w:r w:rsidR="00791AFE" w:rsidRPr="0075519D">
        <w:rPr>
          <w:rStyle w:val="Hyperlink"/>
          <w:rFonts w:ascii="Arial" w:hAnsi="Arial" w:cs="Arial"/>
          <w:lang w:val="fr-FR"/>
        </w:rPr>
        <w:t>dro@wachendorff.de</w:t>
      </w:r>
    </w:hyperlink>
    <w:r w:rsidR="000B2B3E">
      <w:rPr>
        <w:rStyle w:val="Hyperlink"/>
        <w:rFonts w:ascii="Arial" w:hAnsi="Arial" w:cs="Arial"/>
        <w:lang w:val="fr-FR"/>
      </w:rPr>
      <w:t xml:space="preserve"> </w:t>
    </w:r>
  </w:p>
  <w:p w:rsidR="000B2B3E" w:rsidRDefault="000B2B3E" w:rsidP="00791AFE">
    <w:pPr>
      <w:ind w:left="6237"/>
      <w:rPr>
        <w:rStyle w:val="Hyperlink"/>
        <w:rFonts w:ascii="Arial" w:hAnsi="Arial" w:cs="Arial"/>
        <w:lang w:val="fr-FR"/>
      </w:rPr>
    </w:pPr>
  </w:p>
  <w:p w:rsidR="000B2B3E" w:rsidRPr="000B2B3E" w:rsidRDefault="00292694" w:rsidP="00791AFE">
    <w:pPr>
      <w:ind w:left="6237"/>
      <w:rPr>
        <w:rFonts w:ascii="Arial" w:hAnsi="Arial" w:cs="Arial"/>
        <w:lang w:val="fr-FR"/>
      </w:rPr>
    </w:pPr>
    <w:r>
      <w:rPr>
        <w:rStyle w:val="Hyperlink"/>
        <w:rFonts w:ascii="Arial" w:hAnsi="Arial" w:cs="Arial"/>
        <w:color w:val="auto"/>
        <w:u w:val="none"/>
        <w:lang w:val="fr-FR"/>
      </w:rPr>
      <w:t>18</w:t>
    </w:r>
    <w:r w:rsidR="000B2B3E" w:rsidRPr="000B2B3E">
      <w:rPr>
        <w:rStyle w:val="Hyperlink"/>
        <w:rFonts w:ascii="Arial" w:hAnsi="Arial" w:cs="Arial"/>
        <w:color w:val="auto"/>
        <w:u w:val="none"/>
        <w:lang w:val="fr-FR"/>
      </w:rPr>
      <w:t>.</w:t>
    </w:r>
    <w:r>
      <w:rPr>
        <w:rStyle w:val="Hyperlink"/>
        <w:rFonts w:ascii="Arial" w:hAnsi="Arial" w:cs="Arial"/>
        <w:color w:val="auto"/>
        <w:u w:val="none"/>
        <w:lang w:val="fr-FR"/>
      </w:rPr>
      <w:t>11</w:t>
    </w:r>
    <w:r w:rsidR="000B2B3E" w:rsidRPr="000B2B3E">
      <w:rPr>
        <w:rStyle w:val="Hyperlink"/>
        <w:rFonts w:ascii="Arial" w:hAnsi="Arial" w:cs="Arial"/>
        <w:color w:val="auto"/>
        <w:u w:val="none"/>
        <w:lang w:val="fr-FR"/>
      </w:rPr>
      <w:t>.2014</w:t>
    </w:r>
  </w:p>
  <w:p w:rsidR="00380F94" w:rsidRPr="00040AED" w:rsidRDefault="00380F94" w:rsidP="00791AFE">
    <w:pPr>
      <w:rPr>
        <w:rFonts w:ascii="Arial" w:hAnsi="Arial" w:cs="Arial"/>
        <w:b/>
        <w:sz w:val="22"/>
        <w:szCs w:val="22"/>
      </w:rPr>
    </w:pPr>
  </w:p>
  <w:p w:rsidR="00791AFE" w:rsidRPr="00040AED" w:rsidRDefault="00507DDF" w:rsidP="00791AFE">
    <w:pPr>
      <w:rPr>
        <w:rFonts w:ascii="Arial" w:hAnsi="Arial" w:cs="Arial"/>
      </w:rPr>
    </w:pPr>
    <w:r>
      <w:rPr>
        <w:rFonts w:ascii="Arial" w:hAnsi="Arial" w:cs="Arial"/>
        <w:b/>
        <w:sz w:val="22"/>
        <w:szCs w:val="22"/>
      </w:rPr>
      <w:br/>
    </w:r>
    <w:r w:rsidR="00791AFE" w:rsidRPr="00040AED">
      <w:rPr>
        <w:rFonts w:ascii="Arial" w:hAnsi="Arial" w:cs="Arial"/>
        <w:b/>
        <w:sz w:val="22"/>
        <w:szCs w:val="22"/>
      </w:rPr>
      <w:t>Press</w:t>
    </w:r>
    <w:r w:rsidR="00040AED" w:rsidRPr="00040AED">
      <w:rPr>
        <w:rFonts w:ascii="Arial" w:hAnsi="Arial" w:cs="Arial"/>
        <w:b/>
        <w:sz w:val="22"/>
        <w:szCs w:val="22"/>
      </w:rPr>
      <w:t>einformation</w:t>
    </w:r>
    <w:r w:rsidR="00791AFE" w:rsidRPr="00040AED">
      <w:rPr>
        <w:rFonts w:ascii="Arial" w:hAnsi="Arial" w:cs="Arial"/>
        <w:b/>
        <w:sz w:val="22"/>
        <w:szCs w:val="22"/>
      </w:rPr>
      <w:t xml:space="preserve"> </w:t>
    </w:r>
    <w:r w:rsidR="00380F94" w:rsidRPr="00040AED">
      <w:rPr>
        <w:rFonts w:ascii="Arial" w:hAnsi="Arial" w:cs="Arial"/>
        <w:b/>
        <w:sz w:val="22"/>
        <w:szCs w:val="22"/>
      </w:rPr>
      <w:t>WA140</w:t>
    </w:r>
    <w:r w:rsidR="00292694">
      <w:rPr>
        <w:rFonts w:ascii="Arial" w:hAnsi="Arial" w:cs="Arial"/>
        <w:b/>
        <w:sz w:val="22"/>
        <w:szCs w:val="22"/>
      </w:rPr>
      <w:t>7</w:t>
    </w:r>
    <w:r w:rsidR="00380F94" w:rsidRPr="00040AED">
      <w:rPr>
        <w:rFonts w:ascii="Arial" w:hAnsi="Arial" w:cs="Arial"/>
        <w:b/>
        <w:sz w:val="22"/>
        <w:szCs w:val="22"/>
      </w:rPr>
      <w:t xml:space="preserve">: </w:t>
    </w:r>
    <w:r w:rsidR="00292694" w:rsidRPr="00292694">
      <w:rPr>
        <w:rFonts w:ascii="Arial" w:eastAsiaTheme="minorHAnsi" w:hAnsi="Arial" w:cs="Arial"/>
        <w:b/>
        <w:color w:val="000000"/>
        <w:sz w:val="22"/>
        <w:szCs w:val="22"/>
        <w:lang w:eastAsia="en-US"/>
      </w:rPr>
      <w:t xml:space="preserve">Neue Serie </w:t>
    </w:r>
    <w:proofErr w:type="spellStart"/>
    <w:r w:rsidR="00292694" w:rsidRPr="00292694">
      <w:rPr>
        <w:rFonts w:ascii="Arial" w:eastAsiaTheme="minorHAnsi" w:hAnsi="Arial" w:cs="Arial"/>
        <w:b/>
        <w:color w:val="000000"/>
        <w:sz w:val="22"/>
        <w:szCs w:val="22"/>
        <w:lang w:eastAsia="en-US"/>
      </w:rPr>
      <w:t>inkrementaler</w:t>
    </w:r>
    <w:proofErr w:type="spellEnd"/>
    <w:r w:rsidR="00292694" w:rsidRPr="00292694">
      <w:rPr>
        <w:rFonts w:ascii="Arial" w:eastAsiaTheme="minorHAnsi" w:hAnsi="Arial" w:cs="Arial"/>
        <w:b/>
        <w:color w:val="000000"/>
        <w:sz w:val="22"/>
        <w:szCs w:val="22"/>
        <w:lang w:eastAsia="en-US"/>
      </w:rPr>
      <w:t xml:space="preserve"> Drehgeber</w:t>
    </w:r>
    <w:r w:rsidR="00292694" w:rsidRPr="00292694">
      <w:rPr>
        <w:rFonts w:ascii="Arial" w:eastAsiaTheme="minorHAnsi" w:hAnsi="Arial" w:cs="Arial"/>
        <w:b/>
        <w:color w:val="000000"/>
        <w:sz w:val="22"/>
        <w:szCs w:val="22"/>
        <w:lang w:eastAsia="en-US"/>
      </w:rPr>
      <w:br/>
    </w:r>
  </w:p>
  <w:p w:rsidR="00791AFE" w:rsidRPr="00040AED" w:rsidRDefault="00040AED" w:rsidP="00791AFE">
    <w:pPr>
      <w:rPr>
        <w:rFonts w:ascii="Arial" w:hAnsi="Arial" w:cs="Arial"/>
      </w:rPr>
    </w:pPr>
    <w:r w:rsidRPr="00040AED">
      <w:rPr>
        <w:rFonts w:ascii="Arial" w:hAnsi="Arial" w:cs="Arial"/>
      </w:rPr>
      <w:t xml:space="preserve">Texte </w:t>
    </w:r>
    <w:r>
      <w:rPr>
        <w:rFonts w:ascii="Arial" w:hAnsi="Arial" w:cs="Arial"/>
      </w:rPr>
      <w:t>und</w:t>
    </w:r>
    <w:r w:rsidRPr="00040AED">
      <w:rPr>
        <w:rFonts w:ascii="Arial" w:hAnsi="Arial" w:cs="Arial"/>
      </w:rPr>
      <w:t xml:space="preserve"> Bilder sind für die Veröffentlichung </w:t>
    </w:r>
    <w:r>
      <w:rPr>
        <w:rFonts w:ascii="Arial" w:hAnsi="Arial" w:cs="Arial"/>
      </w:rPr>
      <w:t xml:space="preserve">(Print und Online) </w:t>
    </w:r>
    <w:r w:rsidRPr="00040AED">
      <w:rPr>
        <w:rFonts w:ascii="Arial" w:hAnsi="Arial" w:cs="Arial"/>
      </w:rPr>
      <w:t>im Zusammenhang mit dieser Presse</w:t>
    </w:r>
    <w:r>
      <w:rPr>
        <w:rFonts w:ascii="Arial" w:hAnsi="Arial" w:cs="Arial"/>
      </w:rPr>
      <w:t>-</w:t>
    </w:r>
    <w:r w:rsidRPr="00040AED">
      <w:rPr>
        <w:rFonts w:ascii="Arial" w:hAnsi="Arial" w:cs="Arial"/>
      </w:rPr>
      <w:t>information</w:t>
    </w:r>
    <w:r>
      <w:rPr>
        <w:rFonts w:ascii="Arial" w:hAnsi="Arial" w:cs="Arial"/>
      </w:rPr>
      <w:t xml:space="preserve"> freigegeben</w:t>
    </w:r>
    <w:r w:rsidR="00791AFE" w:rsidRPr="00040AED">
      <w:rPr>
        <w:rFonts w:ascii="Arial" w:hAnsi="Arial" w:cs="Arial"/>
      </w:rPr>
      <w:t xml:space="preserve">. </w:t>
    </w:r>
    <w:r>
      <w:rPr>
        <w:rFonts w:ascii="Arial" w:hAnsi="Arial" w:cs="Arial"/>
      </w:rPr>
      <w:t>Bitte senden Sie uns nach Veröffentlichung einen Beleg. Vielen Dank für Ihre Bemühungen im Voraus. Bei Fragen und für Hinweise stehen wir Ihnen jederzeit gerne zur Verfügung.</w:t>
    </w:r>
  </w:p>
  <w:p w:rsidR="006B7414" w:rsidRPr="00040AED" w:rsidRDefault="00B72C11" w:rsidP="00791AFE">
    <w:pPr>
      <w:pStyle w:val="Kopfzeile"/>
      <w:tabs>
        <w:tab w:val="clear" w:pos="9072"/>
        <w:tab w:val="left" w:pos="5812"/>
        <w:tab w:val="right" w:pos="9214"/>
      </w:tabs>
      <w:ind w:left="6237" w:right="-286"/>
    </w:pPr>
    <w:r>
      <w:rPr>
        <w:rFonts w:ascii="Arial" w:hAnsi="Arial" w:cs="Arial"/>
        <w:lang w:val="fr-FR"/>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1"/>
    <w:rsid w:val="00040AED"/>
    <w:rsid w:val="000B2B3E"/>
    <w:rsid w:val="00181669"/>
    <w:rsid w:val="00283711"/>
    <w:rsid w:val="00292694"/>
    <w:rsid w:val="002C5285"/>
    <w:rsid w:val="002F5699"/>
    <w:rsid w:val="00380F94"/>
    <w:rsid w:val="003D6AD8"/>
    <w:rsid w:val="00501A9A"/>
    <w:rsid w:val="00507DDF"/>
    <w:rsid w:val="005614D0"/>
    <w:rsid w:val="005F72F5"/>
    <w:rsid w:val="006561D2"/>
    <w:rsid w:val="006B6736"/>
    <w:rsid w:val="006B7414"/>
    <w:rsid w:val="00770B34"/>
    <w:rsid w:val="00791AFE"/>
    <w:rsid w:val="00902739"/>
    <w:rsid w:val="00B72C11"/>
    <w:rsid w:val="00C26C8F"/>
    <w:rsid w:val="00DB5DA6"/>
    <w:rsid w:val="00DC07DD"/>
    <w:rsid w:val="00DC318F"/>
    <w:rsid w:val="00FF3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CE23B710-7362-4DB9-A22B-4D5F8BB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uiPriority w:val="99"/>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character" w:customStyle="1" w:styleId="FuzeileZchn">
    <w:name w:val="Fußzeile Zchn"/>
    <w:basedOn w:val="Absatz-Standardschriftart"/>
    <w:link w:val="Fuzeile"/>
    <w:uiPriority w:val="99"/>
    <w:rsid w:val="00501A9A"/>
  </w:style>
  <w:style w:type="paragraph" w:styleId="Sprechblasentext">
    <w:name w:val="Balloon Text"/>
    <w:basedOn w:val="Standard"/>
    <w:link w:val="SprechblasentextZchn"/>
    <w:rsid w:val="00DB5DA6"/>
    <w:rPr>
      <w:rFonts w:ascii="Segoe UI" w:hAnsi="Segoe UI" w:cs="Segoe UI"/>
      <w:sz w:val="18"/>
      <w:szCs w:val="18"/>
    </w:rPr>
  </w:style>
  <w:style w:type="character" w:customStyle="1" w:styleId="SprechblasentextZchn">
    <w:name w:val="Sprechblasentext Zchn"/>
    <w:basedOn w:val="Absatz-Standardschriftart"/>
    <w:link w:val="Sprechblasentext"/>
    <w:rsid w:val="00DB5DA6"/>
    <w:rPr>
      <w:rFonts w:ascii="Segoe UI" w:hAnsi="Segoe UI" w:cs="Segoe UI"/>
      <w:sz w:val="18"/>
      <w:szCs w:val="18"/>
    </w:rPr>
  </w:style>
  <w:style w:type="table" w:styleId="Tabellenraster">
    <w:name w:val="Table Grid"/>
    <w:basedOn w:val="NormaleTabelle"/>
    <w:rsid w:val="00C26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chendorff-automatio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4.wmf"/><Relationship Id="rId1" Type="http://schemas.openxmlformats.org/officeDocument/2006/relationships/image" Target="media/image3.jpeg"/><Relationship Id="rId4" Type="http://schemas.openxmlformats.org/officeDocument/2006/relationships/hyperlink" Target="mailto:dro@wachendorff.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DY22Q1E2\FB_066_Briefvorlage_WA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FB_066_Briefvorlage_WA_mit_Logo_Version_0003</Template>
  <TotalTime>0</TotalTime>
  <Pages>3</Pages>
  <Words>428</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WA_mit_Logo</vt:lpstr>
    </vt:vector>
  </TitlesOfParts>
  <Company>Wachendorff Automation GmbH &amp; Co. KG</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WA_mit_Logo</dc:title>
  <dc:subject/>
  <dc:creator>Dirk Rott</dc:creator>
  <cp:keywords/>
  <cp:lastModifiedBy>Dirk Rott</cp:lastModifiedBy>
  <cp:revision>10</cp:revision>
  <cp:lastPrinted>2014-11-18T09:09:00Z</cp:lastPrinted>
  <dcterms:created xsi:type="dcterms:W3CDTF">2014-11-18T08:06:00Z</dcterms:created>
  <dcterms:modified xsi:type="dcterms:W3CDTF">2014-11-18T09:22:00Z</dcterms:modified>
</cp:coreProperties>
</file>